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99C0" w14:textId="77777777" w:rsidR="00600688" w:rsidRPr="00712607" w:rsidRDefault="00600688" w:rsidP="00712607">
      <w:pPr>
        <w:ind w:right="-6"/>
        <w:rPr>
          <w:b/>
        </w:rPr>
      </w:pPr>
      <w:r w:rsidRPr="00712607">
        <w:rPr>
          <w:b/>
        </w:rPr>
        <w:t>FUNCTIEPROFIEL</w:t>
      </w:r>
    </w:p>
    <w:p w14:paraId="61CD34AA" w14:textId="77777777" w:rsidR="00600688" w:rsidRPr="00712607" w:rsidRDefault="00600688" w:rsidP="00712607">
      <w:pPr>
        <w:ind w:right="-6"/>
      </w:pPr>
    </w:p>
    <w:tbl>
      <w:tblPr>
        <w:tblStyle w:val="Tabelraster"/>
        <w:tblW w:w="9639" w:type="dxa"/>
        <w:tblLook w:val="04A0" w:firstRow="1" w:lastRow="0" w:firstColumn="1" w:lastColumn="0" w:noHBand="0" w:noVBand="1"/>
      </w:tblPr>
      <w:tblGrid>
        <w:gridCol w:w="3913"/>
        <w:gridCol w:w="3660"/>
        <w:gridCol w:w="2066"/>
      </w:tblGrid>
      <w:tr w:rsidR="00600688" w:rsidRPr="00712607" w14:paraId="1605D659" w14:textId="77777777" w:rsidTr="00E74604">
        <w:trPr>
          <w:trHeight w:val="237"/>
        </w:trPr>
        <w:tc>
          <w:tcPr>
            <w:tcW w:w="3989" w:type="dxa"/>
            <w:tcMar>
              <w:top w:w="57" w:type="dxa"/>
              <w:bottom w:w="57" w:type="dxa"/>
            </w:tcMar>
            <w:vAlign w:val="center"/>
          </w:tcPr>
          <w:p w14:paraId="186A3667" w14:textId="77777777" w:rsidR="00600688" w:rsidRPr="00712607" w:rsidRDefault="00600688" w:rsidP="00712607">
            <w:pPr>
              <w:tabs>
                <w:tab w:val="left" w:pos="1168"/>
              </w:tabs>
              <w:spacing w:line="240" w:lineRule="auto"/>
              <w:ind w:left="1452" w:right="-6" w:hanging="1452"/>
              <w:rPr>
                <w:rFonts w:ascii="Arial" w:hAnsi="Arial" w:cs="Arial"/>
                <w:b/>
                <w:sz w:val="16"/>
                <w:szCs w:val="16"/>
              </w:rPr>
            </w:pPr>
            <w:r w:rsidRPr="00712607">
              <w:rPr>
                <w:rFonts w:ascii="Arial" w:hAnsi="Arial" w:cs="Arial"/>
                <w:b/>
                <w:sz w:val="16"/>
                <w:szCs w:val="16"/>
              </w:rPr>
              <w:t xml:space="preserve">Functiecode: </w:t>
            </w:r>
            <w:r w:rsidR="001D0186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712607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1D0186">
              <w:rPr>
                <w:rFonts w:ascii="Arial" w:hAnsi="Arial" w:cs="Arial"/>
                <w:b/>
                <w:sz w:val="16"/>
                <w:szCs w:val="16"/>
              </w:rPr>
              <w:t>08</w:t>
            </w:r>
            <w:r w:rsidRPr="0071260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97" w:type="dxa"/>
            <w:tcMar>
              <w:top w:w="57" w:type="dxa"/>
              <w:bottom w:w="57" w:type="dxa"/>
            </w:tcMar>
            <w:vAlign w:val="center"/>
          </w:tcPr>
          <w:p w14:paraId="3DB5BC53" w14:textId="77777777" w:rsidR="00600688" w:rsidRPr="00712607" w:rsidRDefault="003935D2" w:rsidP="00712607">
            <w:pPr>
              <w:tabs>
                <w:tab w:val="left" w:pos="1451"/>
              </w:tabs>
              <w:spacing w:line="240" w:lineRule="auto"/>
              <w:ind w:left="1735" w:right="-6" w:hanging="1735"/>
              <w:rPr>
                <w:rFonts w:ascii="Arial" w:hAnsi="Arial" w:cs="Arial"/>
                <w:b/>
                <w:sz w:val="16"/>
                <w:szCs w:val="16"/>
              </w:rPr>
            </w:pPr>
            <w:r w:rsidRPr="00A71842">
              <w:rPr>
                <w:rFonts w:ascii="Arial" w:hAnsi="Arial" w:cs="Arial"/>
                <w:b/>
                <w:sz w:val="16"/>
                <w:szCs w:val="16"/>
              </w:rPr>
              <w:t xml:space="preserve">Functiefamilie: </w:t>
            </w:r>
            <w:r w:rsidR="001D0186">
              <w:rPr>
                <w:rFonts w:ascii="Arial" w:hAnsi="Arial" w:cs="Arial"/>
                <w:b/>
                <w:sz w:val="16"/>
                <w:szCs w:val="16"/>
              </w:rPr>
              <w:t>Uitvoering</w:t>
            </w:r>
          </w:p>
        </w:tc>
        <w:tc>
          <w:tcPr>
            <w:tcW w:w="2085" w:type="dxa"/>
            <w:tcMar>
              <w:top w:w="57" w:type="dxa"/>
              <w:bottom w:w="57" w:type="dxa"/>
            </w:tcMar>
            <w:vAlign w:val="center"/>
          </w:tcPr>
          <w:p w14:paraId="00068AC2" w14:textId="4A837F0C" w:rsidR="00600688" w:rsidRPr="00712607" w:rsidRDefault="003935D2" w:rsidP="00712607">
            <w:pPr>
              <w:tabs>
                <w:tab w:val="left" w:pos="601"/>
              </w:tabs>
              <w:spacing w:line="240" w:lineRule="auto"/>
              <w:ind w:left="743" w:right="-111" w:hanging="743"/>
              <w:rPr>
                <w:rFonts w:ascii="Arial" w:hAnsi="Arial" w:cs="Arial"/>
                <w:b/>
                <w:sz w:val="16"/>
                <w:szCs w:val="16"/>
              </w:rPr>
            </w:pPr>
            <w:r w:rsidRPr="00A71842">
              <w:rPr>
                <w:rFonts w:ascii="Arial" w:hAnsi="Arial" w:cs="Arial"/>
                <w:b/>
                <w:sz w:val="16"/>
                <w:szCs w:val="16"/>
              </w:rPr>
              <w:t>Datum:</w:t>
            </w:r>
            <w:r w:rsidRPr="00A7184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760B73">
              <w:rPr>
                <w:rFonts w:ascii="Arial" w:hAnsi="Arial" w:cs="Arial"/>
                <w:b/>
                <w:sz w:val="16"/>
                <w:szCs w:val="16"/>
              </w:rPr>
              <w:t>februari 2026</w:t>
            </w:r>
          </w:p>
        </w:tc>
      </w:tr>
    </w:tbl>
    <w:p w14:paraId="78FCCBB4" w14:textId="77777777" w:rsidR="00600688" w:rsidRPr="00712607" w:rsidRDefault="00600688" w:rsidP="00712607">
      <w:pPr>
        <w:ind w:right="-6"/>
      </w:pPr>
    </w:p>
    <w:p w14:paraId="151FA8CE" w14:textId="77777777" w:rsidR="00600688" w:rsidRPr="00712607" w:rsidRDefault="00600688" w:rsidP="00712607">
      <w:pPr>
        <w:ind w:right="-6"/>
        <w:rPr>
          <w:b/>
        </w:rPr>
      </w:pPr>
      <w:r w:rsidRPr="00712607">
        <w:rPr>
          <w:b/>
        </w:rPr>
        <w:t>Context</w:t>
      </w:r>
    </w:p>
    <w:p w14:paraId="7A9BA433" w14:textId="77777777" w:rsidR="00B7729C" w:rsidRPr="00BC3D7D" w:rsidRDefault="00942D68" w:rsidP="00DF6E88">
      <w:pPr>
        <w:ind w:right="-6"/>
      </w:pPr>
      <w:r w:rsidRPr="00B93A0D">
        <w:t xml:space="preserve">De </w:t>
      </w:r>
      <w:r>
        <w:t>uitvoerder</w:t>
      </w:r>
      <w:r w:rsidRPr="00B93A0D">
        <w:t xml:space="preserve"> II is gepositioneerd binnen </w:t>
      </w:r>
      <w:r w:rsidR="000063EA">
        <w:t xml:space="preserve">de </w:t>
      </w:r>
      <w:r w:rsidRPr="00B93A0D">
        <w:t>uitvoering</w:t>
      </w:r>
      <w:r w:rsidR="000063EA">
        <w:t>sorganisatie</w:t>
      </w:r>
      <w:r w:rsidRPr="00B93A0D">
        <w:t xml:space="preserve"> van een </w:t>
      </w:r>
      <w:r>
        <w:t>(</w:t>
      </w:r>
      <w:r w:rsidRPr="00B93A0D">
        <w:t>middel</w:t>
      </w:r>
      <w:r>
        <w:t>)</w:t>
      </w:r>
      <w:r w:rsidRPr="00B93A0D">
        <w:t>groot loonbedrijf.</w:t>
      </w:r>
      <w:r>
        <w:t xml:space="preserve"> </w:t>
      </w:r>
      <w:r w:rsidR="00600688" w:rsidRPr="00712607">
        <w:t xml:space="preserve">De functie </w:t>
      </w:r>
      <w:r w:rsidR="000063EA">
        <w:t>is verantwoordelijk voor</w:t>
      </w:r>
      <w:r>
        <w:t xml:space="preserve"> het </w:t>
      </w:r>
      <w:r w:rsidR="000063EA">
        <w:t>(</w:t>
      </w:r>
      <w:r>
        <w:t>op locatie</w:t>
      </w:r>
      <w:r w:rsidR="000063EA">
        <w:t>)</w:t>
      </w:r>
      <w:r>
        <w:t xml:space="preserve"> </w:t>
      </w:r>
      <w:r w:rsidR="000063EA">
        <w:t xml:space="preserve">aansturen en </w:t>
      </w:r>
      <w:r>
        <w:t>r</w:t>
      </w:r>
      <w:r w:rsidR="00B7729C" w:rsidRPr="00BC3D7D">
        <w:t>ealiseren van de uitvoering van projecten (</w:t>
      </w:r>
      <w:r w:rsidR="00DF6E88">
        <w:t xml:space="preserve">met </w:t>
      </w:r>
      <w:r w:rsidR="00B7729C" w:rsidRPr="00BC3D7D">
        <w:t xml:space="preserve">tenminste gemechaniseerde werkzaamheden). </w:t>
      </w:r>
      <w:r w:rsidR="00DD5DF5" w:rsidRPr="00BC3D7D">
        <w:t xml:space="preserve">Het betreft overzichtelijke projecten, waarbij de focus </w:t>
      </w:r>
      <w:r w:rsidR="000063EA">
        <w:t xml:space="preserve">voor de uitvoerder II ligt </w:t>
      </w:r>
      <w:r w:rsidR="00DD5DF5" w:rsidRPr="00BC3D7D">
        <w:t xml:space="preserve">op aansturen en afstemmen met </w:t>
      </w:r>
      <w:r w:rsidR="000063EA">
        <w:t xml:space="preserve">in- en extern </w:t>
      </w:r>
      <w:r w:rsidR="00DD5DF5" w:rsidRPr="00BC3D7D">
        <w:t>belanghebbenden.</w:t>
      </w:r>
      <w:r w:rsidR="00DF6E88">
        <w:t xml:space="preserve"> </w:t>
      </w:r>
      <w:r w:rsidR="00B7729C" w:rsidRPr="00BC3D7D">
        <w:t>Het betreft de uitvoering van opdrachten aan de hand van aangereikte planningen en richtlijnen</w:t>
      </w:r>
      <w:r w:rsidR="000063EA">
        <w:t>, waarbij de uitvoerder II zelf de benodigde capaciteit mensen, middelen en materialen dient te duiden. De schade door het nie</w:t>
      </w:r>
      <w:r w:rsidR="006F18F0">
        <w:t>t</w:t>
      </w:r>
      <w:r w:rsidR="000063EA">
        <w:t xml:space="preserve"> realiseren van planningen, een inefficiënte inzet van mensen en middelen kan redelijk zijn (claims, imagoschade).</w:t>
      </w:r>
    </w:p>
    <w:p w14:paraId="3FF72FAA" w14:textId="77777777" w:rsidR="00600688" w:rsidRDefault="00600688" w:rsidP="00712607">
      <w:pPr>
        <w:ind w:right="-6"/>
      </w:pPr>
    </w:p>
    <w:p w14:paraId="08EC5F68" w14:textId="77777777" w:rsidR="00432C22" w:rsidRPr="00712607" w:rsidRDefault="00432C22" w:rsidP="00432C22">
      <w:pPr>
        <w:ind w:right="-6"/>
      </w:pPr>
      <w:r>
        <w:t xml:space="preserve">De functie </w:t>
      </w:r>
      <w:r w:rsidR="001D0186">
        <w:t>uitvoerder</w:t>
      </w:r>
      <w:r>
        <w:t xml:space="preserve"> wordt onderscheiden op drie niveaus. De verschillen tussen de </w:t>
      </w:r>
      <w:r w:rsidR="001D0186">
        <w:t>uitvoerder I</w:t>
      </w:r>
      <w:r>
        <w:t xml:space="preserve">, II en III </w:t>
      </w:r>
      <w:r w:rsidRPr="00712607">
        <w:t xml:space="preserve">zijn uitgewerkt in de </w:t>
      </w:r>
      <w:r>
        <w:t>bijlage</w:t>
      </w:r>
      <w:r w:rsidRPr="00712607">
        <w:t xml:space="preserve"> met Niveau-onderscheidende Kenmerken (NOK).</w:t>
      </w:r>
    </w:p>
    <w:p w14:paraId="6F14D9AB" w14:textId="77777777" w:rsidR="00600688" w:rsidRDefault="00600688" w:rsidP="00712607">
      <w:pPr>
        <w:ind w:right="-6"/>
      </w:pPr>
    </w:p>
    <w:p w14:paraId="0DEF5A81" w14:textId="77777777" w:rsidR="003935D2" w:rsidRPr="00C24A5C" w:rsidRDefault="003935D2" w:rsidP="003935D2">
      <w:pPr>
        <w:ind w:right="-6"/>
      </w:pPr>
      <w:r w:rsidRPr="00C24A5C">
        <w:t>Leidinggevende:</w:t>
      </w:r>
      <w:r w:rsidRPr="00C24A5C">
        <w:tab/>
      </w:r>
      <w:r w:rsidR="007673EC">
        <w:t>vakinhoudelijk leidinggevende</w:t>
      </w:r>
    </w:p>
    <w:p w14:paraId="326FB133" w14:textId="77777777" w:rsidR="003935D2" w:rsidRPr="00C24A5C" w:rsidRDefault="003935D2" w:rsidP="003935D2">
      <w:pPr>
        <w:ind w:right="-6"/>
      </w:pPr>
      <w:r w:rsidRPr="00C24A5C">
        <w:t>Geeft leiding aan:</w:t>
      </w:r>
      <w:r w:rsidRPr="00C24A5C">
        <w:tab/>
      </w:r>
      <w:r w:rsidR="000063EA">
        <w:t>meerdere medewerkers</w:t>
      </w:r>
      <w:r w:rsidR="007673EC">
        <w:t xml:space="preserve"> </w:t>
      </w:r>
      <w:r w:rsidR="000063EA">
        <w:t>(functioneel)</w:t>
      </w:r>
      <w:r w:rsidR="007673EC">
        <w:t xml:space="preserve"> </w:t>
      </w:r>
    </w:p>
    <w:p w14:paraId="01EDBD0F" w14:textId="77777777" w:rsidR="003935D2" w:rsidRPr="00712607" w:rsidRDefault="003935D2" w:rsidP="00712607">
      <w:pPr>
        <w:ind w:right="-6"/>
      </w:pPr>
    </w:p>
    <w:p w14:paraId="187A9F86" w14:textId="77777777" w:rsidR="00600688" w:rsidRPr="00712607" w:rsidRDefault="00600688" w:rsidP="00712607">
      <w:pPr>
        <w:ind w:right="-6"/>
        <w:rPr>
          <w:b/>
        </w:rPr>
      </w:pPr>
      <w:r w:rsidRPr="00712607">
        <w:rPr>
          <w:b/>
        </w:rPr>
        <w:t>Resultaatprofiel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819"/>
      </w:tblGrid>
      <w:tr w:rsidR="00600688" w:rsidRPr="00712607" w14:paraId="5C7BF142" w14:textId="77777777" w:rsidTr="00AF2F8A">
        <w:trPr>
          <w:trHeight w:val="227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8CCBAD"/>
            <w:tcMar>
              <w:top w:w="57" w:type="dxa"/>
              <w:bottom w:w="57" w:type="dxa"/>
            </w:tcMar>
            <w:vAlign w:val="center"/>
          </w:tcPr>
          <w:p w14:paraId="33469E91" w14:textId="77777777" w:rsidR="00600688" w:rsidRPr="00AF2F8A" w:rsidRDefault="00600688" w:rsidP="00712607">
            <w:pPr>
              <w:ind w:right="-6"/>
              <w:rPr>
                <w:b/>
                <w:caps/>
                <w:color w:val="0D5554"/>
                <w:lang w:bidi="x-none"/>
              </w:rPr>
            </w:pPr>
            <w:r w:rsidRPr="00AF2F8A">
              <w:rPr>
                <w:b/>
                <w:caps/>
                <w:color w:val="0D5554"/>
                <w:lang w:bidi="x-none"/>
              </w:rPr>
              <w:t>toegevoegde waarde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8CCBAD"/>
            <w:tcMar>
              <w:top w:w="57" w:type="dxa"/>
              <w:bottom w:w="57" w:type="dxa"/>
            </w:tcMar>
            <w:vAlign w:val="center"/>
          </w:tcPr>
          <w:p w14:paraId="373DE4B6" w14:textId="77777777" w:rsidR="00600688" w:rsidRPr="00AF2F8A" w:rsidRDefault="00600688" w:rsidP="00712607">
            <w:pPr>
              <w:ind w:right="-6"/>
              <w:rPr>
                <w:b/>
                <w:caps/>
                <w:color w:val="0D5554"/>
                <w:lang w:bidi="x-none"/>
              </w:rPr>
            </w:pPr>
            <w:r w:rsidRPr="00AF2F8A">
              <w:rPr>
                <w:b/>
                <w:caps/>
                <w:color w:val="0D5554"/>
                <w:lang w:bidi="x-none"/>
              </w:rPr>
              <w:t>Resultaatindicatoren</w:t>
            </w:r>
          </w:p>
        </w:tc>
      </w:tr>
      <w:tr w:rsidR="00600688" w:rsidRPr="00712607" w14:paraId="1582E59E" w14:textId="77777777" w:rsidTr="00E74604">
        <w:tc>
          <w:tcPr>
            <w:tcW w:w="4820" w:type="dxa"/>
            <w:tcMar>
              <w:top w:w="28" w:type="dxa"/>
              <w:bottom w:w="28" w:type="dxa"/>
            </w:tcMar>
          </w:tcPr>
          <w:p w14:paraId="19E35456" w14:textId="77777777" w:rsidR="00600688" w:rsidRPr="00DD5DF5" w:rsidRDefault="00DD5DF5" w:rsidP="00712607">
            <w:pPr>
              <w:ind w:right="-6"/>
              <w:rPr>
                <w:b/>
                <w:bCs/>
              </w:rPr>
            </w:pPr>
            <w:r w:rsidRPr="00DD5DF5">
              <w:rPr>
                <w:b/>
                <w:bCs/>
              </w:rPr>
              <w:t>Afstemming opdrachtgever</w:t>
            </w:r>
          </w:p>
          <w:p w14:paraId="4127152C" w14:textId="77777777" w:rsidR="00600688" w:rsidRPr="00712607" w:rsidRDefault="005A6E6E" w:rsidP="00712607">
            <w:pPr>
              <w:ind w:right="-6"/>
            </w:pPr>
            <w:r>
              <w:t>Werk/p</w:t>
            </w:r>
            <w:r w:rsidR="00530161">
              <w:t xml:space="preserve">roject </w:t>
            </w:r>
            <w:r>
              <w:t xml:space="preserve">is bestudeerd/bekend (tekeningen/schetsen/op locatie) en </w:t>
            </w:r>
            <w:r w:rsidR="00530161">
              <w:t>afgestemd met</w:t>
            </w:r>
            <w:r w:rsidR="00DD5DF5">
              <w:t xml:space="preserve"> de (interne of externe) opdrachtgever, zodat helder </w:t>
            </w:r>
            <w:r w:rsidR="00530161">
              <w:t xml:space="preserve">is </w:t>
            </w:r>
            <w:r w:rsidR="00DD5DF5">
              <w:t>wanneer er opgeleverd wordt (planning)</w:t>
            </w:r>
            <w:r w:rsidR="005B02A3">
              <w:t xml:space="preserve"> met welke kwaliteitseisen en specificaties</w:t>
            </w:r>
            <w:r w:rsidR="00530161">
              <w:t xml:space="preserve">. </w:t>
            </w:r>
          </w:p>
        </w:tc>
        <w:tc>
          <w:tcPr>
            <w:tcW w:w="4819" w:type="dxa"/>
            <w:tcMar>
              <w:top w:w="28" w:type="dxa"/>
              <w:bottom w:w="28" w:type="dxa"/>
            </w:tcMar>
          </w:tcPr>
          <w:p w14:paraId="13642017" w14:textId="77777777" w:rsidR="00F733BC" w:rsidRDefault="00F733BC" w:rsidP="005A62C3">
            <w:pPr>
              <w:pStyle w:val="Lijstalinea"/>
              <w:numPr>
                <w:ilvl w:val="0"/>
                <w:numId w:val="23"/>
              </w:numPr>
              <w:ind w:left="284" w:hanging="284"/>
            </w:pPr>
            <w:r>
              <w:t>i</w:t>
            </w:r>
            <w:r w:rsidR="005B02A3">
              <w:t xml:space="preserve">nzicht in </w:t>
            </w:r>
            <w:r>
              <w:t xml:space="preserve">te realiseren </w:t>
            </w:r>
            <w:r w:rsidR="005B02A3">
              <w:t>planning</w:t>
            </w:r>
            <w:r>
              <w:t>;</w:t>
            </w:r>
          </w:p>
          <w:p w14:paraId="032FC370" w14:textId="77777777" w:rsidR="00600688" w:rsidRDefault="00F733BC" w:rsidP="005A62C3">
            <w:pPr>
              <w:pStyle w:val="Lijstalinea"/>
              <w:numPr>
                <w:ilvl w:val="0"/>
                <w:numId w:val="23"/>
              </w:numPr>
              <w:ind w:left="284" w:hanging="284"/>
            </w:pPr>
            <w:r>
              <w:t xml:space="preserve">inzicht in (kwalitatief) </w:t>
            </w:r>
            <w:r w:rsidR="005B02A3">
              <w:t>resultaat</w:t>
            </w:r>
            <w:r w:rsidR="005A62C3">
              <w:t>;</w:t>
            </w:r>
          </w:p>
          <w:p w14:paraId="5A695230" w14:textId="77777777" w:rsidR="00F733BC" w:rsidRPr="00712607" w:rsidRDefault="00F733BC" w:rsidP="005A62C3">
            <w:pPr>
              <w:pStyle w:val="Lijstalinea"/>
              <w:numPr>
                <w:ilvl w:val="0"/>
                <w:numId w:val="23"/>
              </w:numPr>
              <w:ind w:left="284" w:hanging="284"/>
            </w:pPr>
            <w:r>
              <w:t>inzicht in benodigde capaciteit</w:t>
            </w:r>
            <w:r w:rsidR="005A6E6E">
              <w:t>.</w:t>
            </w:r>
          </w:p>
        </w:tc>
      </w:tr>
      <w:tr w:rsidR="005A6E6E" w:rsidRPr="00712607" w14:paraId="7354CB9E" w14:textId="77777777" w:rsidTr="00574160">
        <w:tc>
          <w:tcPr>
            <w:tcW w:w="48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9AF9146" w14:textId="77777777" w:rsidR="005A6E6E" w:rsidRDefault="005A6E6E" w:rsidP="00574160">
            <w:pPr>
              <w:ind w:right="-6"/>
            </w:pPr>
            <w:r>
              <w:rPr>
                <w:b/>
                <w:bCs/>
              </w:rPr>
              <w:t>Voorbereiding</w:t>
            </w:r>
            <w:r>
              <w:t xml:space="preserve"> </w:t>
            </w:r>
          </w:p>
          <w:p w14:paraId="3F651115" w14:textId="77777777" w:rsidR="005A6E6E" w:rsidRDefault="005A6E6E" w:rsidP="00574160">
            <w:pPr>
              <w:ind w:right="-6"/>
              <w:rPr>
                <w:b/>
              </w:rPr>
            </w:pPr>
            <w:r>
              <w:t xml:space="preserve">Het uit te voeren werk is op basis </w:t>
            </w:r>
            <w:r w:rsidR="005A62C3">
              <w:t>van</w:t>
            </w:r>
            <w:r>
              <w:t xml:space="preserve"> een </w:t>
            </w:r>
            <w:r w:rsidR="005A62C3">
              <w:t xml:space="preserve">adequaat opgestelde </w:t>
            </w:r>
            <w:r>
              <w:t xml:space="preserve">personeelsplanning en het benodigde materieel en materiaal </w:t>
            </w:r>
            <w:r w:rsidR="005A62C3">
              <w:t xml:space="preserve">is </w:t>
            </w:r>
            <w:r>
              <w:t>beschikbaar</w:t>
            </w:r>
            <w:r w:rsidR="005A62C3"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34D26A0" w14:textId="77777777" w:rsidR="005A6E6E" w:rsidRDefault="005A6E6E" w:rsidP="005A62C3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>
              <w:t>tijdige realisatie capaciteit;</w:t>
            </w:r>
          </w:p>
          <w:p w14:paraId="61CF935A" w14:textId="77777777" w:rsidR="005A6E6E" w:rsidRDefault="005A6E6E" w:rsidP="005A62C3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>
              <w:t>conform kaders/uitgangspunten.</w:t>
            </w:r>
          </w:p>
        </w:tc>
      </w:tr>
      <w:tr w:rsidR="002F61BA" w:rsidRPr="00712607" w14:paraId="5DC4A666" w14:textId="77777777" w:rsidTr="00574160">
        <w:tc>
          <w:tcPr>
            <w:tcW w:w="48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7146A22" w14:textId="77777777" w:rsidR="002F61BA" w:rsidRPr="00712607" w:rsidRDefault="00DD5DF5" w:rsidP="00574160">
            <w:pPr>
              <w:ind w:right="-6"/>
            </w:pPr>
            <w:r>
              <w:rPr>
                <w:b/>
              </w:rPr>
              <w:t>Uitvoering</w:t>
            </w:r>
          </w:p>
          <w:p w14:paraId="0538460A" w14:textId="77777777" w:rsidR="002F61BA" w:rsidRPr="00712607" w:rsidRDefault="00F733BC" w:rsidP="00DD5DF5">
            <w:r>
              <w:t>De uitvoering is effectief aan- en bijgestuurd zodat de afspraken met en verwachtingen van de opdrachtgever en het vastgestelde uitvoeringsplan zijn gerealiseerd en verstoringen als gevolg van (niet) beschikbaarheid van middelen, materialen, mensen en/of vertragingen door andere oorzaken (kwaliteit, weersomstandigheden e.d.) tijdig zijn herkend en opgelost in overleg met opdrachtgever en andere betrokken partijen.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AE39D23" w14:textId="77777777" w:rsidR="002F61BA" w:rsidRDefault="005A6E6E" w:rsidP="005A62C3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>
              <w:t>conform normen t.a.v. resultaat, planning, productiviteit, budget;</w:t>
            </w:r>
          </w:p>
          <w:p w14:paraId="691027B2" w14:textId="77777777" w:rsidR="005A6E6E" w:rsidRDefault="005A6E6E" w:rsidP="005A62C3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>
              <w:t>aard en omvang onnodige (niet tijdige signaleringen, bijsturen) verstoringen;</w:t>
            </w:r>
          </w:p>
          <w:p w14:paraId="2BCFCBA8" w14:textId="77777777" w:rsidR="005A6E6E" w:rsidRPr="00712607" w:rsidRDefault="005A6E6E" w:rsidP="005A62C3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>
              <w:t>tijdige escalatie naar projectleider/leidinggevende.</w:t>
            </w:r>
          </w:p>
        </w:tc>
      </w:tr>
      <w:tr w:rsidR="00D33B8A" w:rsidRPr="00712607" w14:paraId="6EF0430B" w14:textId="77777777" w:rsidTr="00574160">
        <w:tc>
          <w:tcPr>
            <w:tcW w:w="48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924445E" w14:textId="77777777" w:rsidR="00D33B8A" w:rsidRPr="00427802" w:rsidRDefault="00D33B8A" w:rsidP="00D33B8A">
            <w:pPr>
              <w:ind w:right="-6"/>
              <w:rPr>
                <w:b/>
              </w:rPr>
            </w:pPr>
            <w:r w:rsidRPr="00427802">
              <w:rPr>
                <w:b/>
              </w:rPr>
              <w:t>Veiligheid,</w:t>
            </w:r>
            <w:r>
              <w:rPr>
                <w:b/>
              </w:rPr>
              <w:t xml:space="preserve"> </w:t>
            </w:r>
            <w:r w:rsidRPr="00427802">
              <w:rPr>
                <w:b/>
              </w:rPr>
              <w:t>Gezondheid en Milieu</w:t>
            </w:r>
          </w:p>
          <w:p w14:paraId="73CA0CE1" w14:textId="1F5F7B27" w:rsidR="00D33B8A" w:rsidRDefault="00D33B8A" w:rsidP="00D33B8A">
            <w:pPr>
              <w:ind w:right="-6"/>
              <w:rPr>
                <w:b/>
              </w:rPr>
            </w:pPr>
            <w:r w:rsidRPr="00427802">
              <w:rPr>
                <w:color w:val="000000"/>
              </w:rPr>
              <w:t>Potentiële veiligheidsrisico’s zijn door analyse inzichtelijk, voorzien van verbetermogelijkheden en na fiattering geïmplementeerd en gedragen door toegewezen medewerkers.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D045911" w14:textId="31DB27DE" w:rsidR="00D33B8A" w:rsidRPr="009A1B74" w:rsidRDefault="00D33B8A" w:rsidP="005116A5">
            <w:pPr>
              <w:pStyle w:val="Lijstalinea"/>
            </w:pPr>
            <w:r>
              <w:t xml:space="preserve">kwaliteit analyse, tijdig </w:t>
            </w:r>
            <w:r w:rsidRPr="009A1B74">
              <w:t>inzicht in veiligheidsrisico’s</w:t>
            </w:r>
            <w:r w:rsidR="00696666">
              <w:t>;</w:t>
            </w:r>
          </w:p>
          <w:p w14:paraId="1AD9A91C" w14:textId="6A053CAE" w:rsidR="00D33B8A" w:rsidRDefault="005116A5" w:rsidP="005116A5">
            <w:pPr>
              <w:pStyle w:val="Lijstalinea"/>
            </w:pPr>
            <w:r>
              <w:t xml:space="preserve">aantal </w:t>
            </w:r>
            <w:r w:rsidR="00D33B8A">
              <w:t>en kwaliteit preventieve, curatieve maatregelen;</w:t>
            </w:r>
          </w:p>
          <w:p w14:paraId="2B395909" w14:textId="77777777" w:rsidR="00D33B8A" w:rsidRDefault="00D33B8A" w:rsidP="005116A5">
            <w:pPr>
              <w:pStyle w:val="Lijstalinea"/>
            </w:pPr>
            <w:r>
              <w:t>effectieve overdracht en implementatie verbeteringen;</w:t>
            </w:r>
          </w:p>
          <w:p w14:paraId="225DF024" w14:textId="77777777" w:rsidR="005116A5" w:rsidRDefault="005116A5" w:rsidP="005116A5">
            <w:pPr>
              <w:pStyle w:val="Lijstalinea"/>
            </w:pPr>
            <w:r>
              <w:t>mate waarin organisatie gezond, veilig en milieuvriendelijk werkt;</w:t>
            </w:r>
          </w:p>
          <w:p w14:paraId="295CFA04" w14:textId="08D26435" w:rsidR="00D33B8A" w:rsidRDefault="005116A5" w:rsidP="005116A5">
            <w:pPr>
              <w:pStyle w:val="Lijstalinea"/>
            </w:pPr>
            <w:r>
              <w:t>aard, omvang ongevallen.</w:t>
            </w:r>
          </w:p>
        </w:tc>
      </w:tr>
      <w:tr w:rsidR="00D33B8A" w:rsidRPr="00712607" w14:paraId="02A323C1" w14:textId="77777777" w:rsidTr="00574160">
        <w:tc>
          <w:tcPr>
            <w:tcW w:w="48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C308400" w14:textId="77777777" w:rsidR="00D33B8A" w:rsidRDefault="00D33B8A" w:rsidP="00D33B8A">
            <w:pPr>
              <w:ind w:right="-6"/>
              <w:rPr>
                <w:b/>
              </w:rPr>
            </w:pPr>
            <w:r>
              <w:rPr>
                <w:b/>
              </w:rPr>
              <w:t>Functioneel leidinggeven</w:t>
            </w:r>
          </w:p>
          <w:p w14:paraId="4C44D1E2" w14:textId="77777777" w:rsidR="00D33B8A" w:rsidRPr="005A6E6E" w:rsidRDefault="00D33B8A" w:rsidP="00D33B8A">
            <w:pPr>
              <w:ind w:right="-6"/>
              <w:rPr>
                <w:bCs/>
              </w:rPr>
            </w:pPr>
            <w:r w:rsidRPr="005A6E6E">
              <w:rPr>
                <w:bCs/>
              </w:rPr>
              <w:t>De in- en externe medewerkers participerend in de uitvoeringsfase zijn effectief ingezet, aan- en bijgestuurd, maar ook gemotiveerd en aangesproken op inzet, bijdragen, gedrag, naleving veiligheidsvoorschriften e.d.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734BBCC" w14:textId="77777777" w:rsidR="00D33B8A" w:rsidRDefault="00D33B8A" w:rsidP="00D33B8A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>
              <w:t>inzet/bijdrage in lijn met de afspraken;</w:t>
            </w:r>
          </w:p>
          <w:p w14:paraId="0D153BC8" w14:textId="77777777" w:rsidR="00D33B8A" w:rsidRDefault="00D33B8A" w:rsidP="00D33B8A">
            <w:pPr>
              <w:pStyle w:val="Lijstalinea"/>
              <w:numPr>
                <w:ilvl w:val="0"/>
                <w:numId w:val="20"/>
              </w:numPr>
              <w:ind w:left="284" w:hanging="284"/>
            </w:pPr>
            <w:r>
              <w:t>samenwerking/sfeer op het werk.</w:t>
            </w:r>
          </w:p>
        </w:tc>
      </w:tr>
      <w:tr w:rsidR="00D33B8A" w:rsidRPr="00712607" w14:paraId="634CCE93" w14:textId="77777777" w:rsidTr="00574160">
        <w:tc>
          <w:tcPr>
            <w:tcW w:w="482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79F4A27" w14:textId="77777777" w:rsidR="00D33B8A" w:rsidRDefault="00D33B8A" w:rsidP="00D33B8A">
            <w:pPr>
              <w:ind w:right="-6"/>
              <w:rPr>
                <w:bCs/>
              </w:rPr>
            </w:pPr>
            <w:r>
              <w:rPr>
                <w:b/>
              </w:rPr>
              <w:t>Rapportage en evaluatie</w:t>
            </w:r>
          </w:p>
          <w:p w14:paraId="44EC85FF" w14:textId="77777777" w:rsidR="00D33B8A" w:rsidRPr="001A097E" w:rsidRDefault="00D33B8A" w:rsidP="00D33B8A">
            <w:pPr>
              <w:ind w:right="-6"/>
              <w:rPr>
                <w:bCs/>
              </w:rPr>
            </w:pPr>
            <w:r>
              <w:rPr>
                <w:bCs/>
              </w:rPr>
              <w:t>De voortgang in de uitvoering, zoals gerealiseerde (machine)uren, verbruikt materiaal en planning zijn periodiek vastgelegd. Met opdrachtgevers en andere belanghebbenden is (tussentijds) geëvalueerd.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0DD7196" w14:textId="77777777" w:rsidR="00D33B8A" w:rsidRDefault="00D33B8A" w:rsidP="00D33B8A">
            <w:pPr>
              <w:pStyle w:val="Lijstalinea"/>
              <w:numPr>
                <w:ilvl w:val="0"/>
                <w:numId w:val="18"/>
              </w:numPr>
              <w:ind w:left="284" w:hanging="284"/>
            </w:pPr>
            <w:r>
              <w:t>tijdige/volledige vastlegging;</w:t>
            </w:r>
          </w:p>
          <w:p w14:paraId="0A5B5B31" w14:textId="77777777" w:rsidR="00D33B8A" w:rsidRDefault="00D33B8A" w:rsidP="00D33B8A">
            <w:pPr>
              <w:pStyle w:val="Lijstalinea"/>
              <w:numPr>
                <w:ilvl w:val="0"/>
                <w:numId w:val="18"/>
              </w:numPr>
              <w:ind w:left="284" w:hanging="284"/>
            </w:pPr>
            <w:r>
              <w:t>kwaliteit oplevering rapportages;</w:t>
            </w:r>
          </w:p>
          <w:p w14:paraId="6DC61627" w14:textId="77777777" w:rsidR="00D33B8A" w:rsidRPr="00712607" w:rsidRDefault="00D33B8A" w:rsidP="00D33B8A">
            <w:pPr>
              <w:pStyle w:val="Lijstalinea"/>
              <w:numPr>
                <w:ilvl w:val="0"/>
                <w:numId w:val="18"/>
              </w:numPr>
              <w:ind w:left="284" w:hanging="284"/>
            </w:pPr>
            <w:r>
              <w:t>opvolging nazorg.</w:t>
            </w:r>
          </w:p>
        </w:tc>
      </w:tr>
      <w:tr w:rsidR="00D33B8A" w:rsidRPr="00C24A5C" w14:paraId="06B5DBB6" w14:textId="77777777" w:rsidTr="00574160">
        <w:trPr>
          <w:trHeight w:val="227"/>
        </w:trPr>
        <w:tc>
          <w:tcPr>
            <w:tcW w:w="9639" w:type="dxa"/>
            <w:gridSpan w:val="2"/>
            <w:shd w:val="clear" w:color="auto" w:fill="8CCBAD"/>
            <w:tcMar>
              <w:top w:w="28" w:type="dxa"/>
              <w:bottom w:w="28" w:type="dxa"/>
            </w:tcMar>
            <w:vAlign w:val="center"/>
          </w:tcPr>
          <w:p w14:paraId="149DD9B6" w14:textId="77777777" w:rsidR="00D33B8A" w:rsidRPr="00D23D4D" w:rsidRDefault="00D33B8A" w:rsidP="00D33B8A">
            <w:pPr>
              <w:ind w:right="-6"/>
              <w:rPr>
                <w:color w:val="0D5554"/>
              </w:rPr>
            </w:pPr>
            <w:r w:rsidRPr="00D23D4D">
              <w:rPr>
                <w:b/>
                <w:caps/>
                <w:color w:val="0D5554"/>
                <w:lang w:bidi="x-none"/>
              </w:rPr>
              <w:t>Bezwarende omstandigheden</w:t>
            </w:r>
          </w:p>
        </w:tc>
      </w:tr>
      <w:tr w:rsidR="00D33B8A" w:rsidRPr="00C24A5C" w14:paraId="2993D80E" w14:textId="77777777" w:rsidTr="006B7EDE">
        <w:trPr>
          <w:trHeight w:val="227"/>
        </w:trPr>
        <w:tc>
          <w:tcPr>
            <w:tcW w:w="9639" w:type="dxa"/>
            <w:gridSpan w:val="2"/>
            <w:tcMar>
              <w:top w:w="28" w:type="dxa"/>
              <w:bottom w:w="28" w:type="dxa"/>
            </w:tcMar>
            <w:vAlign w:val="center"/>
          </w:tcPr>
          <w:p w14:paraId="09BA7843" w14:textId="4A249CBB" w:rsidR="00D33B8A" w:rsidRDefault="00D33B8A" w:rsidP="00D33B8A">
            <w:pPr>
              <w:pStyle w:val="Lijstalinea"/>
              <w:numPr>
                <w:ilvl w:val="0"/>
                <w:numId w:val="22"/>
              </w:numPr>
              <w:ind w:left="308" w:hanging="284"/>
            </w:pPr>
            <w:r>
              <w:t>Hinder van machinelawaai en wisselende weersomstandigheden (regen, koude, warmte) bij het buiten volgen van werkzaamheden en hinder van het dragen van persoonlijke beschermingsmiddelen</w:t>
            </w:r>
            <w:r w:rsidR="005116A5">
              <w:t>.</w:t>
            </w:r>
          </w:p>
          <w:p w14:paraId="51A45D15" w14:textId="2AE2C9CB" w:rsidR="00D33B8A" w:rsidRPr="00C24A5C" w:rsidRDefault="005116A5" w:rsidP="00D33B8A">
            <w:pPr>
              <w:pStyle w:val="Lijstalinea"/>
              <w:numPr>
                <w:ilvl w:val="0"/>
                <w:numId w:val="22"/>
              </w:numPr>
              <w:ind w:left="308" w:hanging="284"/>
            </w:pPr>
            <w:r>
              <w:t>K</w:t>
            </w:r>
            <w:r w:rsidR="00D33B8A">
              <w:t>ans op letsel t.g.v. werken met, en in de nabijheid van, gemechaniseerde werktuigen, in aanraking komen met bewegende/draaiende onderdelen en contact met agressieve stoffen.</w:t>
            </w:r>
          </w:p>
        </w:tc>
      </w:tr>
      <w:tr w:rsidR="00D33B8A" w:rsidRPr="00C24A5C" w14:paraId="254DBDEC" w14:textId="77777777" w:rsidTr="006B7EDE">
        <w:trPr>
          <w:trHeight w:val="22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8CCBAE"/>
            <w:tcMar>
              <w:top w:w="28" w:type="dxa"/>
              <w:bottom w:w="28" w:type="dxa"/>
            </w:tcMar>
            <w:vAlign w:val="center"/>
          </w:tcPr>
          <w:p w14:paraId="3B00B5DD" w14:textId="53B445E7" w:rsidR="00D33B8A" w:rsidRDefault="00D33B8A" w:rsidP="00D33B8A">
            <w:pPr>
              <w:ind w:left="284" w:hanging="284"/>
            </w:pPr>
            <w:r>
              <w:rPr>
                <w:b/>
                <w:caps/>
                <w:color w:val="0D5554"/>
                <w:lang w:bidi="x-none"/>
              </w:rPr>
              <w:t>KENNIS EN ERVARING</w:t>
            </w:r>
          </w:p>
        </w:tc>
      </w:tr>
      <w:tr w:rsidR="00D33B8A" w:rsidRPr="00C24A5C" w14:paraId="08C69EFA" w14:textId="77777777" w:rsidTr="00A01787">
        <w:trPr>
          <w:trHeight w:val="22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5E90178" w14:textId="14B11AEE" w:rsidR="00D33B8A" w:rsidRDefault="005116A5" w:rsidP="00D33B8A">
            <w:pPr>
              <w:pStyle w:val="Lijstalinea"/>
              <w:numPr>
                <w:ilvl w:val="0"/>
                <w:numId w:val="24"/>
              </w:numPr>
              <w:ind w:left="284" w:hanging="284"/>
            </w:pPr>
            <w:r>
              <w:t>mbo</w:t>
            </w:r>
            <w:r w:rsidR="00D33B8A">
              <w:t>+ werk- en denkniveau;</w:t>
            </w:r>
          </w:p>
          <w:p w14:paraId="69B846C6" w14:textId="77777777" w:rsidR="00D33B8A" w:rsidRDefault="00D33B8A" w:rsidP="00D33B8A">
            <w:pPr>
              <w:ind w:left="284" w:hanging="284"/>
            </w:pPr>
            <w:r>
              <w:t>-</w:t>
            </w:r>
            <w:r>
              <w:tab/>
              <w:t>kennis van te hanteren methoden en tech</w:t>
            </w:r>
            <w:r>
              <w:softHyphen/>
              <w:t>nieken voor de uitvoering van werkzaamheden;</w:t>
            </w:r>
          </w:p>
          <w:p w14:paraId="5D800CCB" w14:textId="77777777" w:rsidR="00D33B8A" w:rsidRDefault="00D33B8A" w:rsidP="00D33B8A">
            <w:pPr>
              <w:ind w:left="284" w:hanging="284"/>
            </w:pPr>
            <w:r>
              <w:t>-</w:t>
            </w:r>
            <w:r>
              <w:tab/>
              <w:t>kennis van de werking van de gehanteerde gemechaniseerde werktuigen;</w:t>
            </w:r>
          </w:p>
          <w:p w14:paraId="1477B30C" w14:textId="77777777" w:rsidR="00D33B8A" w:rsidRDefault="00D33B8A" w:rsidP="00D33B8A">
            <w:pPr>
              <w:ind w:left="284" w:hanging="284"/>
            </w:pPr>
            <w:r>
              <w:t>-</w:t>
            </w:r>
            <w:r>
              <w:tab/>
              <w:t>certificering/diplomering t.b.v. het besturen van de gehanteerde gemechaniseerde werktuigen;</w:t>
            </w:r>
          </w:p>
          <w:p w14:paraId="4F1C8B08" w14:textId="77777777" w:rsidR="00D33B8A" w:rsidRDefault="00D33B8A" w:rsidP="00D33B8A">
            <w:pPr>
              <w:ind w:left="284" w:hanging="284"/>
            </w:pPr>
            <w:r>
              <w:t>-</w:t>
            </w:r>
            <w:r>
              <w:tab/>
              <w:t>kennis van wet- en regelgeving op het gebied van veiligheid, gezondheid en milieu;</w:t>
            </w:r>
          </w:p>
          <w:p w14:paraId="4156DA65" w14:textId="77777777" w:rsidR="00D33B8A" w:rsidRDefault="00D33B8A" w:rsidP="00D33B8A">
            <w:pPr>
              <w:ind w:left="284" w:hanging="284"/>
            </w:pPr>
            <w:r>
              <w:t>-</w:t>
            </w:r>
            <w:r>
              <w:tab/>
              <w:t>ervaring met het vaktechnisch aansturen van medewerkers;</w:t>
            </w:r>
          </w:p>
          <w:p w14:paraId="551103AB" w14:textId="317F2A3C" w:rsidR="00D33B8A" w:rsidRPr="006B7EDE" w:rsidRDefault="00D33B8A" w:rsidP="00D33B8A">
            <w:pPr>
              <w:pStyle w:val="Lijstalinea"/>
              <w:numPr>
                <w:ilvl w:val="0"/>
                <w:numId w:val="24"/>
              </w:numPr>
              <w:ind w:left="284" w:hanging="284"/>
            </w:pPr>
            <w:r>
              <w:t>inzicht in de aspecten van invloed op benodigde capaciteiten (mensen, materialen en middelen).</w:t>
            </w:r>
          </w:p>
        </w:tc>
      </w:tr>
      <w:tr w:rsidR="00D33B8A" w:rsidRPr="00C24A5C" w14:paraId="0E694C36" w14:textId="77777777" w:rsidTr="006B7EDE">
        <w:trPr>
          <w:trHeight w:val="227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8CCBAE"/>
            <w:tcMar>
              <w:top w:w="28" w:type="dxa"/>
              <w:bottom w:w="28" w:type="dxa"/>
            </w:tcMar>
            <w:vAlign w:val="center"/>
          </w:tcPr>
          <w:p w14:paraId="1CF56D28" w14:textId="55EC3518" w:rsidR="00D33B8A" w:rsidRDefault="00D33B8A" w:rsidP="00D33B8A">
            <w:pPr>
              <w:ind w:left="284" w:hanging="284"/>
            </w:pPr>
          </w:p>
        </w:tc>
      </w:tr>
    </w:tbl>
    <w:p w14:paraId="2397101F" w14:textId="5207FC8F" w:rsidR="001E27BA" w:rsidRPr="004B156E" w:rsidRDefault="001E27BA" w:rsidP="00712607">
      <w:pPr>
        <w:rPr>
          <w:color w:val="FFFFFF" w:themeColor="background1"/>
        </w:rPr>
      </w:pPr>
    </w:p>
    <w:sectPr w:rsidR="001E27BA" w:rsidRPr="004B156E" w:rsidSect="005F43DE">
      <w:headerReference w:type="default" r:id="rId10"/>
      <w:footerReference w:type="even" r:id="rId11"/>
      <w:footerReference w:type="default" r:id="rId12"/>
      <w:pgSz w:w="11900" w:h="16840"/>
      <w:pgMar w:top="1985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4AF1" w14:textId="77777777" w:rsidR="00CE3165" w:rsidRDefault="00CE3165" w:rsidP="0099201E">
      <w:r>
        <w:separator/>
      </w:r>
    </w:p>
  </w:endnote>
  <w:endnote w:type="continuationSeparator" w:id="0">
    <w:p w14:paraId="769C84C5" w14:textId="77777777" w:rsidR="00CE3165" w:rsidRDefault="00CE3165" w:rsidP="0099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75540711"/>
      <w:docPartObj>
        <w:docPartGallery w:val="Page Numbers (Bottom of Page)"/>
        <w:docPartUnique/>
      </w:docPartObj>
    </w:sdtPr>
    <w:sdtContent>
      <w:p w14:paraId="4270653D" w14:textId="77777777" w:rsidR="0099201E" w:rsidRDefault="0099201E" w:rsidP="00FB6E8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CE89F1D" w14:textId="77777777" w:rsidR="0099201E" w:rsidRDefault="0099201E" w:rsidP="0099201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895225722"/>
      <w:docPartObj>
        <w:docPartGallery w:val="Page Numbers (Bottom of Page)"/>
        <w:docPartUnique/>
      </w:docPartObj>
    </w:sdtPr>
    <w:sdtContent>
      <w:p w14:paraId="60694334" w14:textId="77777777" w:rsidR="0099201E" w:rsidRPr="0099201E" w:rsidRDefault="0099201E" w:rsidP="00FB6E8C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99201E">
          <w:rPr>
            <w:rStyle w:val="Paginanummer"/>
          </w:rPr>
          <w:fldChar w:fldCharType="begin"/>
        </w:r>
        <w:r w:rsidRPr="0099201E">
          <w:rPr>
            <w:rStyle w:val="Paginanummer"/>
          </w:rPr>
          <w:instrText xml:space="preserve"> PAGE </w:instrText>
        </w:r>
        <w:r w:rsidRPr="0099201E">
          <w:rPr>
            <w:rStyle w:val="Paginanummer"/>
          </w:rPr>
          <w:fldChar w:fldCharType="separate"/>
        </w:r>
        <w:r w:rsidRPr="0099201E">
          <w:rPr>
            <w:rStyle w:val="Paginanummer"/>
            <w:noProof/>
          </w:rPr>
          <w:t>1</w:t>
        </w:r>
        <w:r w:rsidRPr="0099201E">
          <w:rPr>
            <w:rStyle w:val="Paginanummer"/>
          </w:rPr>
          <w:fldChar w:fldCharType="end"/>
        </w:r>
      </w:p>
    </w:sdtContent>
  </w:sdt>
  <w:p w14:paraId="4143FB5B" w14:textId="3CF54D5F" w:rsidR="0099201E" w:rsidRPr="00173E49" w:rsidRDefault="0099201E" w:rsidP="004B156E">
    <w:pPr>
      <w:pStyle w:val="Voettekst"/>
      <w:tabs>
        <w:tab w:val="right" w:pos="9639"/>
        <w:tab w:val="right" w:pos="15026"/>
      </w:tabs>
      <w:ind w:right="-434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B2D2" w14:textId="77777777" w:rsidR="00CE3165" w:rsidRDefault="00CE3165" w:rsidP="0099201E">
      <w:r>
        <w:separator/>
      </w:r>
    </w:p>
  </w:footnote>
  <w:footnote w:type="continuationSeparator" w:id="0">
    <w:p w14:paraId="35356775" w14:textId="77777777" w:rsidR="00CE3165" w:rsidRDefault="00CE3165" w:rsidP="0099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D27E" w14:textId="0512CAA8" w:rsidR="00600688" w:rsidRPr="00600688" w:rsidRDefault="001D0186" w:rsidP="00600688">
    <w:pPr>
      <w:pStyle w:val="Koptekst"/>
      <w:tabs>
        <w:tab w:val="right" w:pos="14601"/>
      </w:tabs>
      <w:spacing w:line="200" w:lineRule="atLeast"/>
      <w:ind w:right="110"/>
      <w:jc w:val="center"/>
      <w:rPr>
        <w:b/>
        <w:sz w:val="28"/>
        <w:szCs w:val="28"/>
      </w:rPr>
    </w:pPr>
    <w:r>
      <w:rPr>
        <w:b/>
        <w:sz w:val="28"/>
        <w:szCs w:val="28"/>
      </w:rPr>
      <w:t>UITVOERDER</w:t>
    </w:r>
    <w:r w:rsidR="001A13C2">
      <w:rPr>
        <w:b/>
        <w:sz w:val="28"/>
        <w:szCs w:val="28"/>
      </w:rPr>
      <w:t xml:space="preserve">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CF8"/>
    <w:multiLevelType w:val="hybridMultilevel"/>
    <w:tmpl w:val="A11898DA"/>
    <w:lvl w:ilvl="0" w:tplc="E00231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71AFF"/>
    <w:multiLevelType w:val="hybridMultilevel"/>
    <w:tmpl w:val="111CA08E"/>
    <w:lvl w:ilvl="0" w:tplc="0D56E698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1" w:tplc="88CEDAB2">
      <w:start w:val="1"/>
      <w:numFmt w:val="bullet"/>
      <w:lvlText w:val="."/>
      <w:lvlJc w:val="left"/>
      <w:pPr>
        <w:ind w:left="1134" w:hanging="283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0920"/>
    <w:multiLevelType w:val="multilevel"/>
    <w:tmpl w:val="A190B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DEE"/>
    <w:multiLevelType w:val="hybridMultilevel"/>
    <w:tmpl w:val="BE7E5C8A"/>
    <w:lvl w:ilvl="0" w:tplc="7630795E">
      <w:start w:val="1"/>
      <w:numFmt w:val="decimal"/>
      <w:pStyle w:val="Opsom-cijfers"/>
      <w:lvlText w:val="%1."/>
      <w:lvlJc w:val="left"/>
      <w:pPr>
        <w:ind w:left="284" w:hanging="284"/>
      </w:pPr>
      <w:rPr>
        <w:rFonts w:hint="default"/>
      </w:rPr>
    </w:lvl>
    <w:lvl w:ilvl="1" w:tplc="ED3481FE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5510D268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44292"/>
    <w:multiLevelType w:val="hybridMultilevel"/>
    <w:tmpl w:val="B82CDDC4"/>
    <w:lvl w:ilvl="0" w:tplc="D0F86F64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5A4E2F8">
      <w:start w:val="1"/>
      <w:numFmt w:val="decimal"/>
      <w:lvlText w:val="%2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 w:tplc="D67A944E">
      <w:start w:val="1"/>
      <w:numFmt w:val="lowerLetter"/>
      <w:lvlText w:val="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110429DE">
      <w:start w:val="1"/>
      <w:numFmt w:val="lowerRoman"/>
      <w:lvlText w:val="%4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4301"/>
    <w:multiLevelType w:val="hybridMultilevel"/>
    <w:tmpl w:val="5DD077F4"/>
    <w:lvl w:ilvl="0" w:tplc="0B2E66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C17E3"/>
    <w:multiLevelType w:val="multilevel"/>
    <w:tmpl w:val="1B2E3256"/>
    <w:lvl w:ilvl="0">
      <w:start w:val="1"/>
      <w:numFmt w:val="none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AF1A00"/>
    <w:multiLevelType w:val="multilevel"/>
    <w:tmpl w:val="94B0A59A"/>
    <w:lvl w:ilvl="0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D1A85"/>
    <w:multiLevelType w:val="hybridMultilevel"/>
    <w:tmpl w:val="898432A0"/>
    <w:lvl w:ilvl="0" w:tplc="0B2E66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7536"/>
    <w:multiLevelType w:val="hybridMultilevel"/>
    <w:tmpl w:val="94E0C1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003B4"/>
    <w:multiLevelType w:val="multilevel"/>
    <w:tmpl w:val="93E2EC22"/>
    <w:lvl w:ilvl="0">
      <w:start w:val="1"/>
      <w:numFmt w:val="none"/>
      <w:pStyle w:val="Lijstalinea"/>
      <w:lvlText w:val="-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lvlText w:val="."/>
      <w:lvlJc w:val="left"/>
      <w:pPr>
        <w:ind w:left="851" w:hanging="284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11" w15:restartNumberingAfterBreak="0">
    <w:nsid w:val="3CEF6C91"/>
    <w:multiLevelType w:val="hybridMultilevel"/>
    <w:tmpl w:val="A2900858"/>
    <w:lvl w:ilvl="0" w:tplc="BA2CE0B4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D2633"/>
    <w:multiLevelType w:val="hybridMultilevel"/>
    <w:tmpl w:val="D8E0CA02"/>
    <w:lvl w:ilvl="0" w:tplc="B4CEF56A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D0F86F64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E331D"/>
    <w:multiLevelType w:val="multilevel"/>
    <w:tmpl w:val="A2900858"/>
    <w:lvl w:ilvl="0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47FD5"/>
    <w:multiLevelType w:val="hybridMultilevel"/>
    <w:tmpl w:val="9F26E4FA"/>
    <w:lvl w:ilvl="0" w:tplc="0B2E66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36860892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D37D5"/>
    <w:multiLevelType w:val="multilevel"/>
    <w:tmpl w:val="538CA730"/>
    <w:lvl w:ilvl="0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D1B31"/>
    <w:multiLevelType w:val="hybridMultilevel"/>
    <w:tmpl w:val="A802D194"/>
    <w:lvl w:ilvl="0" w:tplc="0B2E66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A3796"/>
    <w:multiLevelType w:val="hybridMultilevel"/>
    <w:tmpl w:val="7542FAD6"/>
    <w:lvl w:ilvl="0" w:tplc="0B2E66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4366E"/>
    <w:multiLevelType w:val="hybridMultilevel"/>
    <w:tmpl w:val="8B5E1D72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E6867B5"/>
    <w:multiLevelType w:val="multilevel"/>
    <w:tmpl w:val="1B2E3256"/>
    <w:lvl w:ilvl="0">
      <w:start w:val="1"/>
      <w:numFmt w:val="none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E7E25A4"/>
    <w:multiLevelType w:val="hybridMultilevel"/>
    <w:tmpl w:val="60D89B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F3DF8"/>
    <w:multiLevelType w:val="multilevel"/>
    <w:tmpl w:val="23DAAC0A"/>
    <w:lvl w:ilvl="0">
      <w:start w:val="1"/>
      <w:numFmt w:val="none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6156B9"/>
    <w:multiLevelType w:val="hybridMultilevel"/>
    <w:tmpl w:val="64D0FFAA"/>
    <w:lvl w:ilvl="0" w:tplc="0B2E66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A6725"/>
    <w:multiLevelType w:val="hybridMultilevel"/>
    <w:tmpl w:val="6EAA0F62"/>
    <w:lvl w:ilvl="0" w:tplc="BA2CE0B4">
      <w:start w:val="1"/>
      <w:numFmt w:val="bullet"/>
      <w:lvlText w:val="-"/>
      <w:lvlJc w:val="left"/>
      <w:pPr>
        <w:ind w:left="284" w:hanging="284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00123">
    <w:abstractNumId w:val="1"/>
  </w:num>
  <w:num w:numId="2" w16cid:durableId="276572650">
    <w:abstractNumId w:val="2"/>
  </w:num>
  <w:num w:numId="3" w16cid:durableId="1659311229">
    <w:abstractNumId w:val="7"/>
  </w:num>
  <w:num w:numId="4" w16cid:durableId="661667386">
    <w:abstractNumId w:val="15"/>
  </w:num>
  <w:num w:numId="5" w16cid:durableId="1067266785">
    <w:abstractNumId w:val="20"/>
  </w:num>
  <w:num w:numId="6" w16cid:durableId="1832327265">
    <w:abstractNumId w:val="18"/>
  </w:num>
  <w:num w:numId="7" w16cid:durableId="1490055090">
    <w:abstractNumId w:val="9"/>
  </w:num>
  <w:num w:numId="8" w16cid:durableId="1495610159">
    <w:abstractNumId w:val="23"/>
  </w:num>
  <w:num w:numId="9" w16cid:durableId="1562129026">
    <w:abstractNumId w:val="11"/>
  </w:num>
  <w:num w:numId="10" w16cid:durableId="1527789463">
    <w:abstractNumId w:val="13"/>
  </w:num>
  <w:num w:numId="11" w16cid:durableId="203178809">
    <w:abstractNumId w:val="6"/>
  </w:num>
  <w:num w:numId="12" w16cid:durableId="581527140">
    <w:abstractNumId w:val="19"/>
  </w:num>
  <w:num w:numId="13" w16cid:durableId="1557164306">
    <w:abstractNumId w:val="10"/>
  </w:num>
  <w:num w:numId="14" w16cid:durableId="324624538">
    <w:abstractNumId w:val="12"/>
  </w:num>
  <w:num w:numId="15" w16cid:durableId="1777022637">
    <w:abstractNumId w:val="21"/>
  </w:num>
  <w:num w:numId="16" w16cid:durableId="1207722662">
    <w:abstractNumId w:val="4"/>
  </w:num>
  <w:num w:numId="17" w16cid:durableId="1810049041">
    <w:abstractNumId w:val="3"/>
  </w:num>
  <w:num w:numId="18" w16cid:durableId="236869433">
    <w:abstractNumId w:val="8"/>
  </w:num>
  <w:num w:numId="19" w16cid:durableId="132992875">
    <w:abstractNumId w:val="14"/>
  </w:num>
  <w:num w:numId="20" w16cid:durableId="781143666">
    <w:abstractNumId w:val="17"/>
  </w:num>
  <w:num w:numId="21" w16cid:durableId="874731987">
    <w:abstractNumId w:val="16"/>
  </w:num>
  <w:num w:numId="22" w16cid:durableId="1343315753">
    <w:abstractNumId w:val="22"/>
  </w:num>
  <w:num w:numId="23" w16cid:durableId="1800143846">
    <w:abstractNumId w:val="5"/>
  </w:num>
  <w:num w:numId="24" w16cid:durableId="56244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69"/>
    <w:rsid w:val="000010F4"/>
    <w:rsid w:val="000031B2"/>
    <w:rsid w:val="000063EA"/>
    <w:rsid w:val="00047398"/>
    <w:rsid w:val="00073015"/>
    <w:rsid w:val="000741DF"/>
    <w:rsid w:val="00086E69"/>
    <w:rsid w:val="00087C2C"/>
    <w:rsid w:val="000B7A67"/>
    <w:rsid w:val="000B7F47"/>
    <w:rsid w:val="000E2288"/>
    <w:rsid w:val="00106E05"/>
    <w:rsid w:val="001240A6"/>
    <w:rsid w:val="00147DFB"/>
    <w:rsid w:val="00173E49"/>
    <w:rsid w:val="00182CB5"/>
    <w:rsid w:val="001A097E"/>
    <w:rsid w:val="001A13C2"/>
    <w:rsid w:val="001A4282"/>
    <w:rsid w:val="001D0186"/>
    <w:rsid w:val="001E27BA"/>
    <w:rsid w:val="001F7342"/>
    <w:rsid w:val="002126F6"/>
    <w:rsid w:val="00234B05"/>
    <w:rsid w:val="00250383"/>
    <w:rsid w:val="00262F3A"/>
    <w:rsid w:val="00290AF2"/>
    <w:rsid w:val="002A6584"/>
    <w:rsid w:val="002B7587"/>
    <w:rsid w:val="002F5CF1"/>
    <w:rsid w:val="002F61BA"/>
    <w:rsid w:val="002F7B27"/>
    <w:rsid w:val="00321827"/>
    <w:rsid w:val="00343B60"/>
    <w:rsid w:val="003935D2"/>
    <w:rsid w:val="00397A57"/>
    <w:rsid w:val="003B49C7"/>
    <w:rsid w:val="00405A69"/>
    <w:rsid w:val="00427802"/>
    <w:rsid w:val="00432C22"/>
    <w:rsid w:val="00435C3F"/>
    <w:rsid w:val="00444B70"/>
    <w:rsid w:val="004507B5"/>
    <w:rsid w:val="00462969"/>
    <w:rsid w:val="004B156E"/>
    <w:rsid w:val="004D56CE"/>
    <w:rsid w:val="004F7477"/>
    <w:rsid w:val="005116A5"/>
    <w:rsid w:val="00530161"/>
    <w:rsid w:val="0055566C"/>
    <w:rsid w:val="005602DB"/>
    <w:rsid w:val="005614ED"/>
    <w:rsid w:val="005648FE"/>
    <w:rsid w:val="00580193"/>
    <w:rsid w:val="005A62C3"/>
    <w:rsid w:val="005A6E6E"/>
    <w:rsid w:val="005B02A3"/>
    <w:rsid w:val="005B7F50"/>
    <w:rsid w:val="005E0C8E"/>
    <w:rsid w:val="005E4F9C"/>
    <w:rsid w:val="005F43DE"/>
    <w:rsid w:val="00600688"/>
    <w:rsid w:val="00624AFE"/>
    <w:rsid w:val="00627FB1"/>
    <w:rsid w:val="00631C2D"/>
    <w:rsid w:val="00653D38"/>
    <w:rsid w:val="006566EC"/>
    <w:rsid w:val="00696666"/>
    <w:rsid w:val="006A32D9"/>
    <w:rsid w:val="006B7EDE"/>
    <w:rsid w:val="006C78DA"/>
    <w:rsid w:val="006D15B0"/>
    <w:rsid w:val="006E4801"/>
    <w:rsid w:val="006F18F0"/>
    <w:rsid w:val="00712607"/>
    <w:rsid w:val="007318D4"/>
    <w:rsid w:val="00741C08"/>
    <w:rsid w:val="0075050D"/>
    <w:rsid w:val="00760B73"/>
    <w:rsid w:val="00763599"/>
    <w:rsid w:val="007673EC"/>
    <w:rsid w:val="007B1359"/>
    <w:rsid w:val="007B4DB6"/>
    <w:rsid w:val="007D7A5C"/>
    <w:rsid w:val="007E3370"/>
    <w:rsid w:val="00810A85"/>
    <w:rsid w:val="00820991"/>
    <w:rsid w:val="0085203F"/>
    <w:rsid w:val="00857CC5"/>
    <w:rsid w:val="008803C1"/>
    <w:rsid w:val="00881F44"/>
    <w:rsid w:val="008A1010"/>
    <w:rsid w:val="008A1799"/>
    <w:rsid w:val="008A2860"/>
    <w:rsid w:val="008F2937"/>
    <w:rsid w:val="00942D68"/>
    <w:rsid w:val="00961A36"/>
    <w:rsid w:val="00986D86"/>
    <w:rsid w:val="0099201E"/>
    <w:rsid w:val="00A7459F"/>
    <w:rsid w:val="00A96124"/>
    <w:rsid w:val="00AA409E"/>
    <w:rsid w:val="00AD4BFA"/>
    <w:rsid w:val="00AF2F8A"/>
    <w:rsid w:val="00B27FD5"/>
    <w:rsid w:val="00B35FC4"/>
    <w:rsid w:val="00B45876"/>
    <w:rsid w:val="00B54704"/>
    <w:rsid w:val="00B759B3"/>
    <w:rsid w:val="00B7729C"/>
    <w:rsid w:val="00B80D22"/>
    <w:rsid w:val="00C13E85"/>
    <w:rsid w:val="00C221CE"/>
    <w:rsid w:val="00C40F45"/>
    <w:rsid w:val="00C879A3"/>
    <w:rsid w:val="00C9401B"/>
    <w:rsid w:val="00CA29B0"/>
    <w:rsid w:val="00CE3165"/>
    <w:rsid w:val="00D0251A"/>
    <w:rsid w:val="00D17BCF"/>
    <w:rsid w:val="00D33B8A"/>
    <w:rsid w:val="00D85325"/>
    <w:rsid w:val="00DD5DF5"/>
    <w:rsid w:val="00DE1848"/>
    <w:rsid w:val="00DF6E88"/>
    <w:rsid w:val="00EB2C3C"/>
    <w:rsid w:val="00EE6648"/>
    <w:rsid w:val="00EF7D84"/>
    <w:rsid w:val="00F305BE"/>
    <w:rsid w:val="00F438F6"/>
    <w:rsid w:val="00F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02607"/>
  <w15:chartTrackingRefBased/>
  <w15:docId w15:val="{239537D2-5EE9-714B-B9C0-5A86902B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6"/>
        <w:szCs w:val="16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12607"/>
  </w:style>
  <w:style w:type="paragraph" w:styleId="Kop1">
    <w:name w:val="heading 1"/>
    <w:basedOn w:val="Standaard"/>
    <w:next w:val="Standaard"/>
    <w:link w:val="Kop1Char"/>
    <w:uiPriority w:val="9"/>
    <w:qFormat/>
    <w:rsid w:val="00234B05"/>
    <w:pPr>
      <w:spacing w:after="480"/>
      <w:outlineLvl w:val="0"/>
    </w:pPr>
    <w:rPr>
      <w:b/>
      <w:caps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99201E"/>
    <w:pPr>
      <w:spacing w:after="240"/>
      <w:outlineLvl w:val="1"/>
    </w:pPr>
    <w:rPr>
      <w:caps w:val="0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99201E"/>
    <w:pPr>
      <w:spacing w:after="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2126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qFormat/>
    <w:rsid w:val="00C40F45"/>
    <w:pPr>
      <w:numPr>
        <w:numId w:val="13"/>
      </w:numPr>
      <w:tabs>
        <w:tab w:val="clear" w:pos="567"/>
      </w:tabs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34B05"/>
    <w:rPr>
      <w:rFonts w:ascii="Arial" w:hAnsi="Arial" w:cs="Arial"/>
      <w:b/>
      <w:cap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99201E"/>
    <w:rPr>
      <w:rFonts w:ascii="Arial" w:hAnsi="Arial" w:cs="Arial"/>
      <w:b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2126F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126F6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2126F6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99201E"/>
    <w:rPr>
      <w:rFonts w:ascii="Arial" w:hAnsi="Arial" w:cs="Arial"/>
      <w:b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26F6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Koptekst">
    <w:name w:val="header"/>
    <w:basedOn w:val="Standaard"/>
    <w:link w:val="KoptekstChar"/>
    <w:unhideWhenUsed/>
    <w:rsid w:val="0099201E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uiPriority w:val="39"/>
    <w:unhideWhenUsed/>
    <w:rsid w:val="00234B05"/>
    <w:pPr>
      <w:spacing w:after="100"/>
      <w:ind w:left="400"/>
    </w:pPr>
  </w:style>
  <w:style w:type="character" w:customStyle="1" w:styleId="KoptekstChar">
    <w:name w:val="Koptekst Char"/>
    <w:basedOn w:val="Standaardalinea-lettertype"/>
    <w:link w:val="Koptekst"/>
    <w:uiPriority w:val="99"/>
    <w:rsid w:val="0099201E"/>
    <w:rPr>
      <w:rFonts w:ascii="Arial" w:hAnsi="Arial" w:cs="Arial"/>
      <w:sz w:val="20"/>
      <w:szCs w:val="20"/>
    </w:rPr>
  </w:style>
  <w:style w:type="paragraph" w:styleId="Voettekst">
    <w:name w:val="footer"/>
    <w:basedOn w:val="Standaard"/>
    <w:link w:val="VoettekstChar"/>
    <w:unhideWhenUsed/>
    <w:rsid w:val="009920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9201E"/>
    <w:rPr>
      <w:rFonts w:ascii="Arial" w:hAnsi="Arial" w:cs="Arial"/>
      <w:sz w:val="20"/>
      <w:szCs w:val="20"/>
    </w:rPr>
  </w:style>
  <w:style w:type="character" w:styleId="Paginanummer">
    <w:name w:val="page number"/>
    <w:basedOn w:val="Standaardalinea-lettertype"/>
    <w:unhideWhenUsed/>
    <w:rsid w:val="0099201E"/>
  </w:style>
  <w:style w:type="paragraph" w:customStyle="1" w:styleId="Opsom-cijfers">
    <w:name w:val="Opsom-cijfers"/>
    <w:basedOn w:val="Lijstalinea"/>
    <w:qFormat/>
    <w:rsid w:val="00712607"/>
    <w:pPr>
      <w:numPr>
        <w:numId w:val="17"/>
      </w:numPr>
    </w:pPr>
  </w:style>
  <w:style w:type="paragraph" w:customStyle="1" w:styleId="Opsom-streepjes">
    <w:name w:val="Opsom-streepjes"/>
    <w:basedOn w:val="Lijstalinea"/>
    <w:qFormat/>
    <w:rsid w:val="00712607"/>
  </w:style>
  <w:style w:type="table" w:styleId="Tabelraster">
    <w:name w:val="Table Grid"/>
    <w:basedOn w:val="Standaardtabel"/>
    <w:rsid w:val="00600688"/>
    <w:pPr>
      <w:spacing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6006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63EA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63EA"/>
    <w:rPr>
      <w:rFonts w:ascii="Times New Roman" w:hAnsi="Times New Roman" w:cs="Times New Roman"/>
      <w:sz w:val="18"/>
      <w:szCs w:val="18"/>
    </w:rPr>
  </w:style>
  <w:style w:type="paragraph" w:styleId="Revisie">
    <w:name w:val="Revision"/>
    <w:hidden/>
    <w:uiPriority w:val="99"/>
    <w:semiHidden/>
    <w:rsid w:val="00D3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vz01/Library/Group%20Containers/UBF8T346G9.Office/User%20Content.localized/Templates.localized/Mijn%20sjablonen/EVZ%20functie-omschrijving%20incl.%20NOK2%20en%20Fitch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40f6f-c3fa-4d8b-8526-7747a753ae91" xsi:nil="true"/>
    <lcf76f155ced4ddcb4097134ff3c332f xmlns="7e7d4b85-0103-4ac5-8dde-d40d672a523a">
      <Terms xmlns="http://schemas.microsoft.com/office/infopath/2007/PartnerControls"/>
    </lcf76f155ced4ddcb4097134ff3c332f>
    <toegevoegdaanhandboek xmlns="7e7d4b85-0103-4ac5-8dde-d40d672a523a">false</toegevoegdaanhandboek>
    <gecheckt xmlns="7e7d4b85-0103-4ac5-8dde-d40d672a523a">false</gecheck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21" ma:contentTypeDescription="Een nieuw document maken." ma:contentTypeScope="" ma:versionID="45cc3e6c915c871f4d8633c6025c992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3a37fe5f7c31c2c68cf38a3cd41981e8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gechec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gecheckt" ma:index="28" nillable="true" ma:displayName="gecheckt" ma:default="0" ma:format="Dropdown" ma:internalName="gecheck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079A0-7703-44B4-B320-C5835FA085D5}">
  <ds:schemaRefs>
    <ds:schemaRef ds:uri="http://schemas.microsoft.com/office/2006/metadata/properties"/>
    <ds:schemaRef ds:uri="http://schemas.microsoft.com/office/infopath/2007/PartnerControls"/>
    <ds:schemaRef ds:uri="49540f6f-c3fa-4d8b-8526-7747a753ae91"/>
    <ds:schemaRef ds:uri="7e7d4b85-0103-4ac5-8dde-d40d672a523a"/>
  </ds:schemaRefs>
</ds:datastoreItem>
</file>

<file path=customXml/itemProps2.xml><?xml version="1.0" encoding="utf-8"?>
<ds:datastoreItem xmlns:ds="http://schemas.openxmlformats.org/officeDocument/2006/customXml" ds:itemID="{F94E74A7-54C7-4D39-A4E6-A080DD16E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36649-7BE8-4291-88AB-53E0D0AFA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EVZ functie-omschrijving incl. NOK2 en Fitch.dotx</Template>
  <TotalTime>5</TotalTime>
  <Pages>1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 EVZ</dc:creator>
  <cp:keywords/>
  <dc:description/>
  <cp:lastModifiedBy>Secretariaat EVZ</cp:lastModifiedBy>
  <cp:revision>7</cp:revision>
  <dcterms:created xsi:type="dcterms:W3CDTF">2026-02-12T08:41:00Z</dcterms:created>
  <dcterms:modified xsi:type="dcterms:W3CDTF">2026-03-24T10:11:00Z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0x010100B463CE315D4FEE42B479775A9EE17283</vt:lpwstr>
  </property>
  <property fmtid="{D5CDD505-2E9C-101B-9397-08002B2CF9AE}" pid="3" name="Order">
    <vt:r8>1433200</vt:r8>
  </property>
  <property fmtid="{D5CDD505-2E9C-101B-9397-08002B2CF9AE}" pid="4" name="MediaServiceImageTags">
    <vt:lpwstr/>
  </property>
</Properties>
</file>